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W w:w="105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1296"/>
        <w:gridCol w:w="1182"/>
        <w:gridCol w:w="2300"/>
        <w:gridCol w:w="1289"/>
        <w:gridCol w:w="722"/>
        <w:gridCol w:w="1184"/>
        <w:gridCol w:w="1184"/>
        <w:gridCol w:w="134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705" w:hRule="atLeast"/>
          <w:jc w:val="center"/>
        </w:trPr>
        <w:tc>
          <w:tcPr>
            <w:tcW w:w="10506" w:type="dxa"/>
            <w:gridSpan w:val="8"/>
            <w:tcBorders>
              <w:top w:val="nil"/>
              <w:left w:val="nil"/>
              <w:bottom w:val="single" w:color="auto" w:sz="4" w:space="0"/>
              <w:right w:val="nil"/>
            </w:tcBorders>
            <w:shd w:val="clear"/>
            <w:noWrap/>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b/>
                <w:bCs/>
                <w:color w:val="000000"/>
                <w:kern w:val="0"/>
                <w:sz w:val="32"/>
                <w:szCs w:val="32"/>
                <w:u w:val="single"/>
                <w:bdr w:val="none" w:color="auto" w:sz="0" w:space="0"/>
              </w:rPr>
              <w:t xml:space="preserve">2023级全日制专业学位硕士085410 人工智能 </w:t>
            </w:r>
            <w:r>
              <w:rPr>
                <w:rFonts w:hint="eastAsia" w:ascii="宋体" w:hAnsi="宋体" w:eastAsia="宋体" w:cs="宋体"/>
                <w:b/>
                <w:bCs/>
                <w:color w:val="000000"/>
                <w:kern w:val="0"/>
                <w:sz w:val="32"/>
                <w:szCs w:val="32"/>
                <w:bdr w:val="none" w:color="auto" w:sz="0" w:space="0"/>
              </w:rPr>
              <w:t>全日制专业学位硕士培养方案</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学院（部）</w:t>
            </w:r>
            <w:r>
              <w:rPr>
                <w:rFonts w:hint="eastAsia" w:ascii="宋体" w:hAnsi="宋体" w:eastAsia="宋体" w:cs="宋体"/>
                <w:kern w:val="0"/>
                <w:sz w:val="24"/>
                <w:szCs w:val="24"/>
                <w:bdr w:val="none" w:color="auto" w:sz="0" w:space="0"/>
              </w:rPr>
              <w:t xml:space="preserve"> </w:t>
            </w:r>
          </w:p>
        </w:tc>
        <w:tc>
          <w:tcPr>
            <w:tcW w:w="358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lang w:eastAsia="zh-CN"/>
              </w:rPr>
            </w:pPr>
            <w:r>
              <w:rPr>
                <w:rFonts w:hint="eastAsia" w:ascii="等线" w:hAnsi="等线" w:eastAsia="等线" w:cs="等线"/>
                <w:color w:val="000000"/>
                <w:kern w:val="0"/>
                <w:sz w:val="22"/>
                <w:szCs w:val="22"/>
                <w:bdr w:val="none" w:color="auto" w:sz="0" w:space="0"/>
                <w:lang w:eastAsia="zh-CN"/>
              </w:rPr>
              <w:t>生物医学工程学院</w:t>
            </w:r>
          </w:p>
        </w:tc>
        <w:tc>
          <w:tcPr>
            <w:tcW w:w="190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专业学位类别（领域）代码</w:t>
            </w:r>
            <w:r>
              <w:rPr>
                <w:rFonts w:hint="eastAsia" w:ascii="宋体" w:hAnsi="宋体" w:eastAsia="宋体" w:cs="宋体"/>
                <w:kern w:val="0"/>
                <w:sz w:val="24"/>
                <w:szCs w:val="24"/>
                <w:bdr w:val="none" w:color="auto" w:sz="0" w:space="0"/>
              </w:rPr>
              <w:t xml:space="preserve"> </w:t>
            </w:r>
          </w:p>
        </w:tc>
        <w:tc>
          <w:tcPr>
            <w:tcW w:w="25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085410</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专业学位类别（领域）名称</w:t>
            </w:r>
            <w:r>
              <w:rPr>
                <w:rFonts w:hint="eastAsia" w:ascii="宋体" w:hAnsi="宋体" w:eastAsia="宋体" w:cs="宋体"/>
                <w:kern w:val="0"/>
                <w:sz w:val="24"/>
                <w:szCs w:val="24"/>
                <w:bdr w:val="none" w:color="auto" w:sz="0" w:space="0"/>
              </w:rPr>
              <w:t xml:space="preserve"> </w:t>
            </w:r>
          </w:p>
        </w:tc>
        <w:tc>
          <w:tcPr>
            <w:tcW w:w="358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085410 人工智能</w:t>
            </w:r>
            <w:r>
              <w:rPr>
                <w:rFonts w:hint="eastAsia" w:ascii="宋体" w:hAnsi="宋体" w:eastAsia="宋体" w:cs="宋体"/>
                <w:kern w:val="0"/>
                <w:sz w:val="24"/>
                <w:szCs w:val="24"/>
                <w:bdr w:val="none" w:color="auto" w:sz="0" w:space="0"/>
              </w:rPr>
              <w:t xml:space="preserve"> </w:t>
            </w:r>
          </w:p>
        </w:tc>
        <w:tc>
          <w:tcPr>
            <w:tcW w:w="190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学位级别</w:t>
            </w:r>
            <w:r>
              <w:rPr>
                <w:rFonts w:hint="eastAsia" w:ascii="宋体" w:hAnsi="宋体" w:eastAsia="宋体" w:cs="宋体"/>
                <w:kern w:val="0"/>
                <w:sz w:val="24"/>
                <w:szCs w:val="24"/>
                <w:bdr w:val="none" w:color="auto" w:sz="0" w:space="0"/>
              </w:rPr>
              <w:t xml:space="preserve"> </w:t>
            </w:r>
          </w:p>
        </w:tc>
        <w:tc>
          <w:tcPr>
            <w:tcW w:w="25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 xml:space="preserve"> R硕士  □博士</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适用学生类型</w:t>
            </w:r>
            <w:r>
              <w:rPr>
                <w:rFonts w:hint="eastAsia" w:ascii="宋体" w:hAnsi="宋体" w:eastAsia="宋体" w:cs="宋体"/>
                <w:kern w:val="0"/>
                <w:sz w:val="24"/>
                <w:szCs w:val="24"/>
                <w:bdr w:val="none" w:color="auto" w:sz="0" w:space="0"/>
              </w:rPr>
              <w:t xml:space="preserve"> </w:t>
            </w:r>
          </w:p>
        </w:tc>
        <w:tc>
          <w:tcPr>
            <w:tcW w:w="358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 xml:space="preserve"> R全日制  □非全日制 </w:t>
            </w:r>
          </w:p>
        </w:tc>
        <w:tc>
          <w:tcPr>
            <w:tcW w:w="190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用于留学生</w:t>
            </w:r>
            <w:r>
              <w:rPr>
                <w:rFonts w:hint="eastAsia" w:ascii="宋体" w:hAnsi="宋体" w:eastAsia="宋体" w:cs="宋体"/>
                <w:kern w:val="0"/>
                <w:sz w:val="24"/>
                <w:szCs w:val="24"/>
                <w:bdr w:val="none" w:color="auto" w:sz="0" w:space="0"/>
              </w:rPr>
              <w:t xml:space="preserve"> </w:t>
            </w:r>
          </w:p>
        </w:tc>
        <w:tc>
          <w:tcPr>
            <w:tcW w:w="25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 xml:space="preserve">□是  R否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适用年级</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color w:val="000000"/>
                <w:kern w:val="0"/>
                <w:sz w:val="22"/>
                <w:szCs w:val="22"/>
                <w:bdr w:val="none" w:color="auto" w:sz="0" w:space="0"/>
              </w:rPr>
              <w:t>从</w:t>
            </w:r>
            <w:r>
              <w:rPr>
                <w:rFonts w:hint="eastAsia" w:ascii="宋体" w:hAnsi="宋体" w:eastAsia="宋体" w:cs="宋体"/>
                <w:color w:val="000000"/>
                <w:kern w:val="0"/>
                <w:sz w:val="22"/>
                <w:szCs w:val="22"/>
                <w:u w:val="single"/>
                <w:bdr w:val="none" w:color="auto" w:sz="0" w:space="0"/>
              </w:rPr>
              <w:t xml:space="preserve"> 2023 </w:t>
            </w:r>
            <w:r>
              <w:rPr>
                <w:rFonts w:hint="eastAsia" w:ascii="等线" w:hAnsi="等线" w:eastAsia="等线" w:cs="等线"/>
                <w:color w:val="000000"/>
                <w:kern w:val="0"/>
                <w:sz w:val="22"/>
                <w:szCs w:val="22"/>
                <w:bdr w:val="none" w:color="auto" w:sz="0" w:space="0"/>
              </w:rPr>
              <w:t>级开始适用</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制定时间</w:t>
            </w:r>
            <w:r>
              <w:rPr>
                <w:rFonts w:hint="eastAsia" w:ascii="宋体" w:hAnsi="宋体" w:eastAsia="宋体" w:cs="宋体"/>
                <w:kern w:val="0"/>
                <w:sz w:val="24"/>
                <w:szCs w:val="24"/>
                <w:bdr w:val="none" w:color="auto" w:sz="0" w:space="0"/>
              </w:rPr>
              <w:t xml:space="preserve"> </w:t>
            </w:r>
          </w:p>
        </w:tc>
        <w:tc>
          <w:tcPr>
            <w:tcW w:w="358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kern w:val="0"/>
                <w:sz w:val="22"/>
                <w:szCs w:val="22"/>
                <w:u w:val="single"/>
                <w:bdr w:val="none" w:color="auto" w:sz="0" w:space="0"/>
              </w:rPr>
              <w:t xml:space="preserve">  202</w:t>
            </w:r>
            <w:r>
              <w:rPr>
                <w:rFonts w:hint="eastAsia" w:cs="宋体"/>
                <w:color w:val="000000"/>
                <w:kern w:val="0"/>
                <w:sz w:val="22"/>
                <w:szCs w:val="22"/>
                <w:u w:val="single"/>
                <w:bdr w:val="none" w:color="auto" w:sz="0" w:space="0"/>
                <w:lang w:val="en-US" w:eastAsia="zh-CN"/>
              </w:rPr>
              <w:t>3</w:t>
            </w:r>
            <w:r>
              <w:rPr>
                <w:rFonts w:hint="eastAsia" w:ascii="宋体" w:hAnsi="宋体" w:eastAsia="宋体" w:cs="宋体"/>
                <w:color w:val="000000"/>
                <w:kern w:val="0"/>
                <w:sz w:val="22"/>
                <w:szCs w:val="22"/>
                <w:u w:val="single"/>
                <w:bdr w:val="none" w:color="auto" w:sz="0" w:space="0"/>
              </w:rPr>
              <w:t xml:space="preserve">  </w:t>
            </w:r>
            <w:r>
              <w:rPr>
                <w:rFonts w:hint="eastAsia" w:ascii="等线" w:hAnsi="等线" w:eastAsia="等线" w:cs="等线"/>
                <w:color w:val="000000"/>
                <w:kern w:val="0"/>
                <w:sz w:val="22"/>
                <w:szCs w:val="22"/>
                <w:bdr w:val="none" w:color="auto" w:sz="0" w:space="0"/>
              </w:rPr>
              <w:t>年</w:t>
            </w:r>
            <w:r>
              <w:rPr>
                <w:rFonts w:hint="eastAsia" w:ascii="宋体" w:hAnsi="宋体" w:eastAsia="宋体" w:cs="宋体"/>
                <w:color w:val="000000"/>
                <w:kern w:val="0"/>
                <w:sz w:val="22"/>
                <w:szCs w:val="22"/>
                <w:u w:val="single"/>
                <w:bdr w:val="none" w:color="auto" w:sz="0" w:space="0"/>
              </w:rPr>
              <w:t xml:space="preserve"> 6 </w:t>
            </w:r>
            <w:r>
              <w:rPr>
                <w:rFonts w:hint="eastAsia" w:ascii="等线" w:hAnsi="等线" w:eastAsia="等线" w:cs="等线"/>
                <w:color w:val="000000"/>
                <w:kern w:val="0"/>
                <w:sz w:val="22"/>
                <w:szCs w:val="22"/>
                <w:bdr w:val="none" w:color="auto" w:sz="0" w:space="0"/>
              </w:rPr>
              <w:t>月</w:t>
            </w:r>
            <w:r>
              <w:rPr>
                <w:rFonts w:hint="eastAsia" w:ascii="宋体" w:hAnsi="宋体" w:eastAsia="宋体" w:cs="宋体"/>
                <w:kern w:val="0"/>
                <w:sz w:val="24"/>
                <w:szCs w:val="24"/>
                <w:bdr w:val="none" w:color="auto" w:sz="0" w:space="0"/>
              </w:rPr>
              <w:t xml:space="preserve"> </w:t>
            </w:r>
          </w:p>
        </w:tc>
        <w:tc>
          <w:tcPr>
            <w:tcW w:w="190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修订时间</w:t>
            </w:r>
            <w:r>
              <w:rPr>
                <w:rFonts w:hint="eastAsia" w:ascii="宋体" w:hAnsi="宋体" w:eastAsia="宋体" w:cs="宋体"/>
                <w:kern w:val="0"/>
                <w:sz w:val="24"/>
                <w:szCs w:val="24"/>
                <w:bdr w:val="none" w:color="auto" w:sz="0" w:space="0"/>
              </w:rPr>
              <w:t xml:space="preserve"> </w:t>
            </w:r>
          </w:p>
        </w:tc>
        <w:tc>
          <w:tcPr>
            <w:tcW w:w="25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kern w:val="0"/>
                <w:sz w:val="22"/>
                <w:szCs w:val="22"/>
                <w:u w:val="single"/>
                <w:bdr w:val="none" w:color="auto" w:sz="0" w:space="0"/>
              </w:rPr>
              <w:t xml:space="preserve">  2023  </w:t>
            </w:r>
            <w:r>
              <w:rPr>
                <w:rFonts w:hint="eastAsia" w:ascii="等线" w:hAnsi="等线" w:eastAsia="等线" w:cs="等线"/>
                <w:color w:val="000000"/>
                <w:kern w:val="0"/>
                <w:sz w:val="22"/>
                <w:szCs w:val="22"/>
                <w:bdr w:val="none" w:color="auto" w:sz="0" w:space="0"/>
              </w:rPr>
              <w:t>年</w:t>
            </w:r>
            <w:r>
              <w:rPr>
                <w:rFonts w:hint="eastAsia" w:ascii="宋体" w:hAnsi="宋体" w:eastAsia="宋体" w:cs="宋体"/>
                <w:color w:val="000000"/>
                <w:kern w:val="0"/>
                <w:sz w:val="22"/>
                <w:szCs w:val="22"/>
                <w:u w:val="single"/>
                <w:bdr w:val="none" w:color="auto" w:sz="0" w:space="0"/>
              </w:rPr>
              <w:t xml:space="preserve"> 6 </w:t>
            </w:r>
            <w:r>
              <w:rPr>
                <w:rFonts w:hint="eastAsia" w:ascii="等线" w:hAnsi="等线" w:eastAsia="等线" w:cs="等线"/>
                <w:color w:val="000000"/>
                <w:kern w:val="0"/>
                <w:sz w:val="22"/>
                <w:szCs w:val="22"/>
                <w:bdr w:val="none" w:color="auto" w:sz="0" w:space="0"/>
              </w:rPr>
              <w:t>月</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一、专业学位类别（领域）简介</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深圳大学在人工智能领域，服务粤港澳大湾区和中国特色社会主义先行示范区建设国家战略，面向国家重大需求，依托深圳地区的产业优势、地缘优势和政策优势，培养宽广理论知识与扎实技术能力兼备、具有国际视野的科研和工程技术人才。主要特色和优势如下：</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    (1)师资队伍</w:t>
            </w:r>
            <w:r>
              <w:rPr>
                <w:rFonts w:hint="eastAsia" w:ascii="微软雅黑" w:hAnsi="微软雅黑" w:eastAsia="微软雅黑" w:cs="微软雅黑"/>
                <w:kern w:val="0"/>
                <w:sz w:val="21"/>
                <w:szCs w:val="21"/>
                <w:bdr w:val="none" w:color="auto" w:sz="0" w:space="0"/>
              </w:rPr>
              <w:t>：在人工智能领域形成了多个以院士、国家级高层次人才、国家级青年人才、行业专家为骨干、跨学科融合产学研紧密耦合的师资团队，学历、职称和学缘结构合理。</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    (2)学科平台</w:t>
            </w:r>
            <w:r>
              <w:rPr>
                <w:rFonts w:hint="eastAsia" w:ascii="微软雅黑" w:hAnsi="微软雅黑" w:eastAsia="微软雅黑" w:cs="微软雅黑"/>
                <w:kern w:val="0"/>
                <w:sz w:val="21"/>
                <w:szCs w:val="21"/>
                <w:bdr w:val="none" w:color="auto" w:sz="0" w:space="0"/>
              </w:rPr>
              <w:t>：建有大数据系统计算技术国家工程实验室、人工智能与数字经济广东省实验室等相关科研平台，拥有计算机科学与技术、电子信息等相关一级学科博士点和博士后流动站，计算机科学与技术为广东省攀峰重点学科。</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    (3)科学研究</w:t>
            </w:r>
            <w:r>
              <w:rPr>
                <w:rFonts w:hint="eastAsia" w:ascii="微软雅黑" w:hAnsi="微软雅黑" w:eastAsia="微软雅黑" w:cs="微软雅黑"/>
                <w:kern w:val="0"/>
                <w:sz w:val="21"/>
                <w:szCs w:val="21"/>
                <w:bdr w:val="none" w:color="auto" w:sz="0" w:space="0"/>
              </w:rPr>
              <w:t>：青塔公布的“2018国家自然科学基金：人工智能项目”统计数据显示，在178所高校中，深圳大学获批项目9项，位居全国第6位；近5年，承担了20多项人工智能领域的国家级重大重点项目；在人工智能领域的CCF A类期刊和会议上发表了60多篇论文；CS Rankings人工智能领域2020-2022年国内排名第24位；获得了吴文俊人工智能科技进步奖一等奖、吴文俊人工智能自然科学奖三等奖、广东省科学技术奖一等奖等10多项省部级以上科研奖励。</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   (4)人才培养</w:t>
            </w:r>
            <w:r>
              <w:rPr>
                <w:rFonts w:hint="eastAsia" w:ascii="微软雅黑" w:hAnsi="微软雅黑" w:eastAsia="微软雅黑" w:cs="微软雅黑"/>
                <w:kern w:val="0"/>
                <w:sz w:val="21"/>
                <w:szCs w:val="21"/>
                <w:bdr w:val="none" w:color="auto" w:sz="0" w:space="0"/>
              </w:rPr>
              <w:t>：与腾讯公司共建了广东省首个人工智能学院，承办了第三届中国研究生人工智能创新大赛；在校研究生在CCF A类期刊和会议上发表了数十篇论文，获得了十余项全国性行业竞赛奖，大量研究生毕业生在腾讯、华为、字节跳动等名企工作。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二、培养目标</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18"/>
                <w:szCs w:val="18"/>
                <w:bdr w:val="none" w:color="auto" w:sz="0" w:space="0"/>
              </w:rPr>
              <w:t>       </w:t>
            </w:r>
            <w:r>
              <w:rPr>
                <w:rFonts w:hint="eastAsia" w:ascii="微软雅黑" w:hAnsi="微软雅黑" w:eastAsia="微软雅黑" w:cs="微软雅黑"/>
                <w:kern w:val="0"/>
                <w:sz w:val="21"/>
                <w:szCs w:val="21"/>
                <w:bdr w:val="none" w:color="auto" w:sz="0" w:space="0"/>
              </w:rPr>
              <w:t>紧紧围绕立德树人根本任务，坚持“四为”方针，以职业需求为导向，以职业胜任力培养（包括职业知识、能力、素养及应用研究能力等）为重点，以产学结合、产教融合为途径，培养德智体美劳全面发展的社会主义建设者和接班人，适应国家地方经济社会发展对高层次应用型人才的需求。</w:t>
            </w:r>
          </w:p>
          <w:p>
            <w:pPr>
              <w:keepNext w:val="0"/>
              <w:keepLines w:val="0"/>
              <w:widowControl/>
              <w:suppressLineNumbers w:val="0"/>
              <w:spacing w:before="0" w:beforeLines="50" w:beforeAutospacing="0" w:after="0" w:afterLines="50" w:afterAutospacing="0"/>
              <w:ind w:left="0" w:leftChars="0" w:right="0" w:rightChars="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(1)具有坚定正确的政治方向，热爱社会主义祖国，拥护中国共产党的领导，掌握马克思列宁主义、毛泽东思想、邓小平理论、“三个代表”重要思想、科学发展观和习近平新时代中国特色社会主义理论的基本原理；遵纪守法，品行端正，诚实守信，身心健康；恪守学术道德和职业道德，具有良好的职业素养、团结合作的精神、创新创业的意识。</w:t>
            </w:r>
          </w:p>
          <w:p>
            <w:pPr>
              <w:keepNext w:val="0"/>
              <w:keepLines w:val="0"/>
              <w:widowControl/>
              <w:suppressLineNumbers w:val="0"/>
              <w:spacing w:before="0" w:beforeLines="50" w:beforeAutospacing="0" w:after="0" w:afterLines="50" w:afterAutospacing="0"/>
              <w:ind w:left="0" w:leftChars="0" w:right="0" w:rightChars="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(2) 掌握计算机技术领域坚实的基础理论和宽广的专业知识，了解该领域的技术现状和发展趋势，具有较强的解决实际问题的能力，能够承担该领域的专业技术或管理工作；掌握科学研究的基本技巧和方法，能较熟练地阅读外文资料，具备开展实务研发、技术交流的能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三、培养方向</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(1)大数据智能</w:t>
            </w:r>
            <w:r>
              <w:rPr>
                <w:rFonts w:hint="eastAsia" w:ascii="微软雅黑" w:hAnsi="微软雅黑" w:eastAsia="微软雅黑" w:cs="微软雅黑"/>
                <w:kern w:val="0"/>
                <w:sz w:val="21"/>
                <w:szCs w:val="21"/>
                <w:bdr w:val="none" w:color="auto" w:sz="0" w:space="0"/>
              </w:rPr>
              <w:t>(计算机与软件学院)：在大规模低质数据（包括缺失、噪音、不完备等）上建立有效的深度学习范式是大数据时代一个极具挑战的方向，是从大数据中获取智能的最根本途径。我们研究的独特之处在于将大数据的低质表示与数据的不确定性建模关联，通过分析数据的、模型的、预测的三类不同的不确定性，提高深度学习系统的性能。面向机器学习的不确定性建模研究已持续积累25年，曾获省部级自然科学一等奖和吴文俊人工智能自然科学一等奖。</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(2)智能图形与视觉</w:t>
            </w:r>
            <w:r>
              <w:rPr>
                <w:rFonts w:hint="eastAsia" w:ascii="微软雅黑" w:hAnsi="微软雅黑" w:eastAsia="微软雅黑" w:cs="微软雅黑"/>
                <w:kern w:val="0"/>
                <w:sz w:val="21"/>
                <w:szCs w:val="21"/>
                <w:bdr w:val="none" w:color="auto" w:sz="0" w:space="0"/>
              </w:rPr>
              <w:t>(计算机与软件学院)：以计算机图形学、计算机视觉为核心，结合机器学习、人工智能、人机交互等技术，培养学生在三维表示、三维重建、形状分析、机器人感知、语义目标理解与识别、模型赋能、视点规划等问题的理论理解和技术应用。在计算机视觉相关技术基础上，推进图形表示、图像处理、模式识别、智能决策和任务需求的耦合创新，与华为、腾讯等众多知名企业开展研究合作。据计算机学科专业排行榜（2016-2022）最新统计，深圳大学计算机图形学位居全国第二、亚洲第三、世界第16，已获多个国家重点科研项目支持。</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(3)智能物联网与移动计算</w:t>
            </w:r>
            <w:r>
              <w:rPr>
                <w:rFonts w:hint="eastAsia" w:ascii="微软雅黑" w:hAnsi="微软雅黑" w:eastAsia="微软雅黑" w:cs="微软雅黑"/>
                <w:kern w:val="0"/>
                <w:sz w:val="21"/>
                <w:szCs w:val="21"/>
                <w:bdr w:val="none" w:color="auto" w:sz="0" w:space="0"/>
              </w:rPr>
              <w:t>(计算机与软件学院)：通过物联网与移动计算技术结合第五代通讯技术以及人工智能技术，通过网络赋予万物感知，最终在云端形成大量数据，并通过智能化落地应用。企事业合作伙伴包括腾讯、华为、广东省第二人民医院、广东省微生物所、香港科技大学等。致力于培养具有创新精神、创业意识、创新创业能力的，适应国家需要的“新基建”建设者，曾获广东省科学技术奖(自然科学)一等奖、广东省科学技术进步一等奖和教育部自然科学二等奖。</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(4)智能机器人与智能系统</w:t>
            </w:r>
            <w:r>
              <w:rPr>
                <w:rFonts w:hint="eastAsia" w:ascii="微软雅黑" w:hAnsi="微软雅黑" w:eastAsia="微软雅黑" w:cs="微软雅黑"/>
                <w:kern w:val="0"/>
                <w:sz w:val="21"/>
                <w:szCs w:val="21"/>
                <w:bdr w:val="none" w:color="auto" w:sz="0" w:space="0"/>
              </w:rPr>
              <w:t>(计算机与软件学院)：主要结合智能机器人以及人工智能医疗，与腾讯、中兴、深圳多家医院建立了很好的合作，在开展人工智能与机器人基础理论研究的同时，进行理论应用探索。探索智能感知、网路协同、智能分析等关键技术，依托国家重点研发计划项目、国家自然科学基金重点项目等支持，荣获吴文俊人工智能科技进步一等奖、广东省科技进步二等奖等。</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(5)智能金融</w:t>
            </w:r>
            <w:r>
              <w:rPr>
                <w:rFonts w:hint="eastAsia" w:ascii="微软雅黑" w:hAnsi="微软雅黑" w:eastAsia="微软雅黑" w:cs="微软雅黑"/>
                <w:kern w:val="0"/>
                <w:sz w:val="21"/>
                <w:szCs w:val="21"/>
                <w:bdr w:val="none" w:color="auto" w:sz="0" w:space="0"/>
              </w:rPr>
              <w:t>(微众银行金融科技学院)：研究方向包括机器学习及人工智能在金融资产定价与风险管理、智能投研、合规监管科技、分布式经济等中的应用研究。充分利用深圳金融中心的区位优势，加强与金融机构之间合作。已经与微众银行、平安银行等本地金融机构建立紧密联系，共同在学生培养、教材编写、科学研究等方面进行合作。</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(6)城市智能</w:t>
            </w:r>
            <w:r>
              <w:rPr>
                <w:rFonts w:hint="eastAsia" w:ascii="微软雅黑" w:hAnsi="微软雅黑" w:eastAsia="微软雅黑" w:cs="微软雅黑"/>
                <w:kern w:val="0"/>
                <w:sz w:val="21"/>
                <w:szCs w:val="21"/>
                <w:bdr w:val="none" w:color="auto" w:sz="0" w:space="0"/>
              </w:rPr>
              <w:t>(建筑与城市规划学院)：针对大数据和人工智能所引发的科学研究范式的改变，研究人工智能与地理空间问题、城市规划、空间设计等问题相结合的空间智能理论、方法与技术，具体包括建筑计算性设计、智慧规划、空间智能与城市治理三个研究方向。充分利用建筑与城市规划学院丰富的师资与企业资源，深圳市规划国土发展研究中心、深圳小库科技有限公司、中国城市规划设计研究院等，立足国家新型智慧城市和粤港澳大湾区社会经济发展和建设需求，培养人工智能+智慧城市及建筑、城市规划方向的交叉学科复合型人才，能够从事智慧城市、人工智能等地理空间信息相关的设计、开发和管理工作。</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(7)智能教育</w:t>
            </w:r>
            <w:r>
              <w:rPr>
                <w:rFonts w:hint="eastAsia" w:ascii="微软雅黑" w:hAnsi="微软雅黑" w:eastAsia="微软雅黑" w:cs="微软雅黑"/>
                <w:kern w:val="0"/>
                <w:sz w:val="21"/>
                <w:szCs w:val="21"/>
                <w:bdr w:val="none" w:color="auto" w:sz="0" w:space="0"/>
              </w:rPr>
              <w:t>(教育学部)：智能教育方向是以教育学理论为基础，综合心理学、脑科学、计算机科学等学科，研究机器智能融入教育全过程引发的教育新现象、教育新问题及其规律的 应用学科。通过对智能教育基础理论、智能学习环境与资源、智能学习评价等的 理论、方法及关键技术的研究，指导智能学习空间、智能校园、智能教育资源、智能代理等的教育适应性开发，推动人工智能在教学、管理、资源建设等全流程应用。</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(8)人工智能医疗</w:t>
            </w:r>
            <w:r>
              <w:rPr>
                <w:rFonts w:hint="eastAsia" w:ascii="微软雅黑" w:hAnsi="微软雅黑" w:eastAsia="微软雅黑" w:cs="微软雅黑"/>
                <w:kern w:val="0"/>
                <w:sz w:val="21"/>
                <w:szCs w:val="21"/>
                <w:bdr w:val="none" w:color="auto" w:sz="0" w:space="0"/>
              </w:rPr>
              <w:t>(医学部)：人工智能硕士专业学位授权领域交叉研究方向这一新的办学模式有如下多层次的定位，响应国家号召和战略部署，根据社会、民生发展需求，回归生物医学工程学科本质，充分适应和利用人工智能蓬勃发展的新形势，促进我校生物医学工程学科的建设。根据医疗行业发展形势，满足企业在医疗人工智能高端人才的迫切需求。调整培养思路，突出以学生培养为中心，淘汰过时的教学内容和教学课程，根据国家、社会、民生所需，培养有特色的拥有解决专业问题实际能力的毕业生。通过培养体系、课程体系的改革，锻炼和建设一支适应学科发展需求的师资队伍。</w:t>
            </w:r>
          </w:p>
          <w:p>
            <w:pPr>
              <w:keepNext w:val="0"/>
              <w:keepLines w:val="0"/>
              <w:widowControl/>
              <w:suppressLineNumbers w:val="0"/>
              <w:spacing w:before="0" w:beforeAutospacing="1" w:after="0" w:afterAutospacing="1"/>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b/>
                <w:bCs/>
                <w:kern w:val="0"/>
                <w:sz w:val="21"/>
                <w:szCs w:val="21"/>
                <w:bdr w:val="none" w:color="auto" w:sz="0" w:space="0"/>
              </w:rPr>
              <w:t>(9)智能管理与交叉创新</w:t>
            </w:r>
            <w:r>
              <w:rPr>
                <w:rFonts w:hint="eastAsia" w:ascii="微软雅黑" w:hAnsi="微软雅黑" w:eastAsia="微软雅黑" w:cs="微软雅黑"/>
                <w:kern w:val="0"/>
                <w:sz w:val="21"/>
                <w:szCs w:val="21"/>
                <w:bdr w:val="none" w:color="auto" w:sz="0" w:space="0"/>
              </w:rPr>
              <w:t>(大湾区国际创新学院)：注重计算机科学与技术、管理科学与工程、生物医学工程等优势学科知识的交叉融合，进行实际管理问题的创新解决与智能优化，旨在培养熟练掌握相关交叉学科领域基本理论和方法，有较强的运用相关交叉学科先进技术及分析方法能力的一流拔尖创新型、复合型应用人才。具体包括智能优化与决策、智慧医疗与健康管理、大数据智能与数字经济三个研究子方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四、学制与最长学习年限</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18"/>
                <w:szCs w:val="18"/>
                <w:bdr w:val="none" w:color="auto" w:sz="0" w:space="0"/>
              </w:rPr>
              <w:t>      </w:t>
            </w:r>
            <w:r>
              <w:rPr>
                <w:rFonts w:hint="eastAsia" w:ascii="微软雅黑" w:hAnsi="微软雅黑" w:eastAsia="微软雅黑" w:cs="微软雅黑"/>
                <w:color w:val="333333"/>
                <w:kern w:val="0"/>
                <w:sz w:val="21"/>
                <w:szCs w:val="21"/>
                <w:bdr w:val="none" w:color="auto" w:sz="0" w:space="0"/>
              </w:rPr>
              <w:t>全日制硕士研究生学制为3年，最长学习年限不超过5年</w:t>
            </w:r>
            <w:r>
              <w:rPr>
                <w:rFonts w:hint="eastAsia" w:ascii="微软雅黑" w:hAnsi="微软雅黑" w:eastAsia="微软雅黑" w:cs="微软雅黑"/>
                <w:kern w:val="0"/>
                <w:sz w:val="21"/>
                <w:szCs w:val="21"/>
                <w:bdr w:val="none" w:color="auto" w:sz="0" w:space="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五、培养方式</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(1)专业学位研究生的培养实行校内导师负责、校内外导师联合指导和集体培养相结合的方式。校内导师是研究生培养的第一责任人，对研究生培养的全过程进行全方位、针对性指导。校外导师由从企（行）业聘请的具有丰富专业实践经验的专家担任，主要负责研究生实践能力的培养，协助校内导师做好其他方面的培养指导工作。学院、学位点在研究生培养计划制定、课程学习、专业实践、综合考核、学位论文开题、学位论文中期检查等关键环节发挥集体培养的优势并起到监控的作用。</w:t>
            </w:r>
          </w:p>
          <w:p>
            <w:pPr>
              <w:keepNext w:val="0"/>
              <w:keepLines w:val="0"/>
              <w:widowControl/>
              <w:suppressLineNumbers w:val="0"/>
              <w:spacing w:before="0" w:beforeLines="50" w:beforeAutospacing="0" w:after="0" w:afterLines="50" w:afterAutospacing="0"/>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(2)专业学位研究生的培养在业务上采取课程学习、专业实践和学位论文研究相结合的方式。课程学习主要在校内完成，专业实践主要在实践基地或实习（工作）单位完成，学位论文研究一般应与专业实践有机结合并同时进行。</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(3)专业学位研究生的培养采用学校与企（行）业合作的方式。学院、学位点和导师积极开展产教融合联合培养，与企（行）业建立多样化的合作关系，引导企（行）业深度参与研究生培养全过程，指导研究生研究和解决企（行）业发展的实际问题，促进人才培养与企（行）业用人需求的精准衔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80" w:hRule="atLeast"/>
          <w:jc w:val="center"/>
        </w:trPr>
        <w:tc>
          <w:tcPr>
            <w:tcW w:w="24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课程类别学分及门数要求</w:t>
            </w:r>
            <w:r>
              <w:rPr>
                <w:rFonts w:hint="eastAsia" w:ascii="宋体" w:hAnsi="宋体" w:eastAsia="宋体" w:cs="宋体"/>
                <w:kern w:val="0"/>
                <w:sz w:val="24"/>
                <w:szCs w:val="24"/>
                <w:bdr w:val="none" w:color="auto" w:sz="0" w:space="0"/>
              </w:rPr>
              <w:t xml:space="preserve"> </w:t>
            </w:r>
          </w:p>
        </w:tc>
        <w:tc>
          <w:tcPr>
            <w:tcW w:w="8028"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总学分：32； 公共必修：（最低学分5 ，最少门数3）； 专业必修：（最低学分9 ，最少门数5）； 专业选修：（最低学分10 ，最少门数5）； 必修环节：（最低学分8 ，最少门数6）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课程设置</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1258" w:hRule="atLeast"/>
          <w:jc w:val="center"/>
        </w:trPr>
        <w:tc>
          <w:tcPr>
            <w:tcW w:w="12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课程类别</w:t>
            </w:r>
            <w:r>
              <w:rPr>
                <w:rFonts w:hint="eastAsia" w:ascii="宋体" w:hAnsi="宋体" w:eastAsia="宋体" w:cs="宋体"/>
                <w:kern w:val="0"/>
                <w:sz w:val="24"/>
                <w:szCs w:val="24"/>
                <w:bdr w:val="none" w:color="auto" w:sz="0" w:space="0"/>
              </w:rPr>
              <w:t xml:space="preserve"> </w:t>
            </w: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课程编号</w:t>
            </w:r>
            <w:r>
              <w:rPr>
                <w:rFonts w:hint="eastAsia" w:ascii="宋体" w:hAnsi="宋体" w:eastAsia="宋体" w:cs="宋体"/>
                <w:kern w:val="0"/>
                <w:sz w:val="24"/>
                <w:szCs w:val="24"/>
                <w:bdr w:val="none" w:color="auto" w:sz="0" w:space="0"/>
              </w:rPr>
              <w:t xml:space="preserve">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课程中文名称</w:t>
            </w:r>
            <w:r>
              <w:rPr>
                <w:rFonts w:hint="eastAsia" w:ascii="宋体" w:hAnsi="宋体" w:eastAsia="宋体" w:cs="宋体"/>
                <w:kern w:val="0"/>
                <w:sz w:val="24"/>
                <w:szCs w:val="24"/>
                <w:bdr w:val="none" w:color="auto" w:sz="0" w:space="0"/>
              </w:rPr>
              <w:t xml:space="preserve"> </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学分</w:t>
            </w:r>
            <w:r>
              <w:rPr>
                <w:rFonts w:hint="eastAsia" w:ascii="宋体" w:hAnsi="宋体" w:eastAsia="宋体" w:cs="宋体"/>
                <w:kern w:val="0"/>
                <w:sz w:val="24"/>
                <w:szCs w:val="24"/>
                <w:bdr w:val="none" w:color="auto" w:sz="0" w:space="0"/>
              </w:rPr>
              <w:t xml:space="preserve">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总学时</w:t>
            </w:r>
            <w:r>
              <w:rPr>
                <w:rFonts w:hint="eastAsia" w:ascii="宋体" w:hAnsi="宋体" w:eastAsia="宋体" w:cs="宋体"/>
                <w:kern w:val="0"/>
                <w:sz w:val="24"/>
                <w:szCs w:val="24"/>
                <w:bdr w:val="none" w:color="auto" w:sz="0" w:space="0"/>
              </w:rPr>
              <w:t xml:space="preserve">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开课学期</w:t>
            </w:r>
            <w:r>
              <w:rPr>
                <w:rFonts w:hint="eastAsia" w:ascii="宋体" w:hAnsi="宋体" w:eastAsia="宋体" w:cs="宋体"/>
                <w:kern w:val="0"/>
                <w:sz w:val="24"/>
                <w:szCs w:val="24"/>
                <w:bdr w:val="none" w:color="auto" w:sz="0" w:space="0"/>
              </w:rPr>
              <w:t xml:space="preserve">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考核方式</w:t>
            </w:r>
            <w:r>
              <w:rPr>
                <w:rFonts w:hint="eastAsia" w:ascii="宋体" w:hAnsi="宋体" w:eastAsia="宋体" w:cs="宋体"/>
                <w:kern w:val="0"/>
                <w:sz w:val="24"/>
                <w:szCs w:val="24"/>
                <w:bdr w:val="none" w:color="auto" w:sz="0" w:space="0"/>
              </w:rPr>
              <w:t xml:space="preserve"> </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备注</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公共必修</w:t>
            </w:r>
            <w:r>
              <w:rPr>
                <w:rFonts w:hint="eastAsia" w:ascii="宋体" w:hAnsi="宋体" w:eastAsia="宋体" w:cs="宋体"/>
                <w:kern w:val="0"/>
                <w:sz w:val="24"/>
                <w:szCs w:val="24"/>
                <w:bdr w:val="none" w:color="auto" w:sz="0" w:space="0"/>
              </w:rPr>
              <w:t xml:space="preserve"> </w:t>
            </w: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0806002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基础英语</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1106009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自然辩证法概论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18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1106010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新时代中国特色社会主义理论与实践</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36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专业必修</w:t>
            </w:r>
            <w:r>
              <w:rPr>
                <w:rFonts w:hint="eastAsia" w:ascii="宋体" w:hAnsi="宋体" w:eastAsia="宋体" w:cs="宋体"/>
                <w:kern w:val="0"/>
                <w:sz w:val="24"/>
                <w:szCs w:val="24"/>
                <w:bdr w:val="none" w:color="auto" w:sz="0" w:space="0"/>
              </w:rPr>
              <w:t xml:space="preserve"> </w:t>
            </w: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MSE50020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论文写作指导</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 000010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专业英语</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 000012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机器学习</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 00013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工程伦理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算法设计与分析</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专业选修</w:t>
            </w:r>
            <w:r>
              <w:rPr>
                <w:rFonts w:hint="eastAsia" w:ascii="宋体" w:hAnsi="宋体" w:eastAsia="宋体" w:cs="宋体"/>
                <w:kern w:val="0"/>
                <w:sz w:val="24"/>
                <w:szCs w:val="24"/>
                <w:bdr w:val="none" w:color="auto" w:sz="0" w:space="0"/>
              </w:rPr>
              <w:t xml:space="preserve"> </w:t>
            </w: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金融科技与商务分析</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金融科技学院选修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管理理论与实证</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财务实证研究</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实验经济学与行为金融</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高阶金融衍生产品</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MSE5009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金融创新与风险投资</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MSE5016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资产定价与公司金融</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EDU5206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智能教育研究进展</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教育学部选修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EDU5207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教育原理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EDU5208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计算机视觉教育应用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EDU5209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教育数据挖掘</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教育技术研究方法</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云计算原理及应用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智能教育课程设计与开发</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深度学习</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学习科学前沿研究</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EDU5215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高级程序设计</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06365</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智能教育项目规划与设计</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2</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40</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06366</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教育中的认知与神经科学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2</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40</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GBAI5001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最优化计算与工具</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管理学院选修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GBAI5002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人工智能与创新</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GBAI5003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高阶运筹学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GBAI5004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智能健康管理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GBAI5005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数据挖掘与创新创业案例研讨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BME5202B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医学数字信号处理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医学部选修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BME5103B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工程数学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BME5101B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生物医学工程导论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BME5201B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医学图像处理与应用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BME5102B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医学统计学（生工专硕）</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医学基础讲座</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restart"/>
            <w:tcBorders>
              <w:top w:val="nil"/>
              <w:left w:val="nil"/>
              <w:bottom w:val="outset" w:color="auto" w:sz="6"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color w:val="000000"/>
                <w:kern w:val="2"/>
                <w:sz w:val="18"/>
                <w:szCs w:val="18"/>
                <w:bdr w:val="none" w:color="auto" w:sz="0" w:space="0"/>
              </w:rPr>
              <w:t>计算机与软件学院选修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博弈论导论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深入了解操作系统</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智能信息处理与优化</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2706069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在线投资组合算法与应用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现代密码学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无线网络技术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深度学习前沿技术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射频识别基础</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社群图网络与文本分析</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三维视觉导论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软件项目管理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几何建模与处理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集成电路技术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2706079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多媒体信息隐藏对抗</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最优化方法</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智能推荐技术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物联网应用技术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云计算技术及应用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优化理论与应用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下一代互联网技术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统计分析与随机过程</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随机几何理论与大规模网络分析</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随机过程</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2706089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医学图像处理</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数据库内核原理与实现</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数据可视化</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数据挖掘</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视频内容分析与实践</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生物信息学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深度学习与量化交易</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软件规范与验证</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强化学习理论与应用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2706098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脑与认知科学</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2706099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模式识别</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可视计算导论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2706101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计算智能</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高级图像和视频压缩</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高级编译技术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大数据处理技术</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2706105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并行处理与体系结构</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DI5011E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并行程序设计与算法实践</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DI5010E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高级计算机体系机构</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DI5012E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离散数学应用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2706126</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特征工程</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2</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nil"/>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UIS5007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计算机视觉与实时摄影测量</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restart"/>
            <w:tcBorders>
              <w:top w:val="single" w:color="auto" w:sz="4" w:space="0"/>
              <w:left w:val="nil"/>
              <w:bottom w:val="outset"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建筑与城市规划学院选修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URP6015X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城市空间分析技术与应用</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1.5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vMerge w:val="continue"/>
            <w:tcBorders>
              <w:top w:val="single" w:color="auto" w:sz="4" w:space="0"/>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UIS000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地理空间智能（GeoAI）导论</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single" w:color="auto" w:sz="4" w:space="0"/>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UIS2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数据可视化与智能交互</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single" w:color="auto" w:sz="4" w:space="0"/>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UIS3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建筑智能前沿</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2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40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vMerge w:val="continue"/>
            <w:tcBorders>
              <w:top w:val="single" w:color="auto" w:sz="4" w:space="0"/>
              <w:left w:val="nil"/>
              <w:bottom w:val="outset" w:color="auto" w:sz="6"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必修环节</w:t>
            </w:r>
            <w:r>
              <w:rPr>
                <w:rFonts w:hint="eastAsia" w:ascii="宋体" w:hAnsi="宋体" w:eastAsia="宋体" w:cs="宋体"/>
                <w:kern w:val="0"/>
                <w:sz w:val="24"/>
                <w:szCs w:val="24"/>
                <w:bdr w:val="none" w:color="auto" w:sz="0" w:space="0"/>
              </w:rPr>
              <w:t xml:space="preserve"> </w:t>
            </w: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3003012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心理健康教育</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0.5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3003013</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学术道德与学术规范教育</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0.5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第二学期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考试</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AI50006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综合考核</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第五学期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AI50005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专业实践</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6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120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第五学期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AI50004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行业前沿讲座</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0.5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第五学期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296"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AI50003 </w:t>
            </w:r>
          </w:p>
        </w:tc>
        <w:tc>
          <w:tcPr>
            <w:tcW w:w="2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实验室安全教育</w:t>
            </w:r>
          </w:p>
        </w:tc>
        <w:tc>
          <w:tcPr>
            <w:tcW w:w="12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0.5 </w:t>
            </w:r>
          </w:p>
        </w:tc>
        <w:tc>
          <w:tcPr>
            <w:tcW w:w="7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10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 xml:space="preserve">第一学期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考查</w:t>
            </w:r>
          </w:p>
        </w:tc>
        <w:tc>
          <w:tcPr>
            <w:tcW w:w="13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color w:val="000000"/>
                <w:kern w:val="2"/>
                <w:sz w:val="18"/>
                <w:szCs w:val="18"/>
                <w:bdr w:val="none" w:color="auto" w:sz="0" w:space="0"/>
              </w:rPr>
            </w:pPr>
            <w:r>
              <w:rPr>
                <w:rFonts w:hint="eastAsia" w:ascii="微软雅黑" w:hAnsi="微软雅黑" w:eastAsia="微软雅黑" w:cs="微软雅黑"/>
                <w:color w:val="000000"/>
                <w:kern w:val="2"/>
                <w:sz w:val="18"/>
                <w:szCs w:val="18"/>
                <w:bdr w:val="none" w:color="auto" w:sz="0" w:space="0"/>
              </w:rPr>
              <w:t>必修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八、 培养环节及考核要求</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tbl>
            <w:tblPr>
              <w:tblStyle w:val="10"/>
              <w:tblW w:w="1020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35"/>
              <w:gridCol w:w="4711"/>
              <w:gridCol w:w="2152"/>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仿宋" w:hAnsi="仿宋" w:eastAsia="仿宋" w:cs="仿宋"/>
                      <w:b/>
                      <w:bCs/>
                      <w:kern w:val="0"/>
                      <w:sz w:val="21"/>
                      <w:szCs w:val="21"/>
                      <w:bdr w:val="none" w:color="auto" w:sz="0" w:space="0"/>
                    </w:rPr>
                    <w:t>环节名称</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仿宋" w:hAnsi="仿宋" w:eastAsia="仿宋" w:cs="仿宋"/>
                      <w:b/>
                      <w:bCs/>
                      <w:kern w:val="0"/>
                      <w:sz w:val="21"/>
                      <w:szCs w:val="21"/>
                      <w:bdr w:val="none" w:color="auto" w:sz="0" w:space="0"/>
                    </w:rPr>
                    <w:t>内容及考核要求</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仿宋" w:hAnsi="仿宋" w:eastAsia="仿宋" w:cs="仿宋"/>
                      <w:b/>
                      <w:bCs/>
                      <w:kern w:val="0"/>
                      <w:sz w:val="21"/>
                      <w:szCs w:val="21"/>
                      <w:bdr w:val="none" w:color="auto" w:sz="0" w:space="0"/>
                    </w:rPr>
                    <w:t>考核方式</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仿宋" w:hAnsi="仿宋" w:eastAsia="仿宋" w:cs="仿宋"/>
                      <w:b/>
                      <w:bCs/>
                      <w:kern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制定个人培养计划</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研究生入学后三个月内，在导师和导师组指导下，围绕人工智能领域制定个人培养计划。个人培养计划应符合专业培养方案的总体要求，内容包括研究方向、课程学习、必修环节（学术道德与学术规范教育、行业前沿讲座、专业实践、综合考核等）、科学研究及学位论文等方面的安排和要求。个人培养计划纸质文档由学院（部、研究院）保存，电子文档上传至研究生管理系统。研究生应完成个人培养计划所列的课程学习任务，参加专业实践，通过必修环节考核，完成学位论文</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8"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学术道德与学术规范教育</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在新生入学教育周开展学术规范、学术道德和学术诚信教育，组织研究生学习《高等学校科学技术学术规范指南》以及相关MOOC课程。研究生应在第一学期结束前完成上述学习，并登录研究生管理系统完成学术规范问卷测试。若测试成绩达到90分合格线，则研究生通过学术道德与学术规范教育考核；否则其应重新学习和测试，直至达到合格线为止。测试成绩未达到合格线者不得申请学位论文答辩</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心理健康教育</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在新生入学教育周开展心理健康教育，在入学后第一学期组织研究生学习相关MOOC课程，帮助其树立心理健康意识，优化心理品质，增强心理调适能力和社会生活的适应能力，预防和缓解心理问题。若MOOC课程学习成绩达到60分及格线，则研究生通过心理健康教育考核，获得相应学分；若成绩未及格，可按照《深圳大学研究生课程教学与成绩考核管理办法》（深大〔2017〕19614号）申请重修。若研究生未获得心理健康教育必修环节学分，则无法申请学位论文答辩</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行业前沿讲座</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邀请企（行）业具有丰富实践经验的高级工程技术专家和高级管理专家，开设企（行）业发展前沿讲座。专硕生参加次数不少于10次。行业前沿讲座考核工作应在申请学位论文答辩前一个学期完成，采用研究生书面报告、导师签字认可、学位点审核、学院（部、研究院）审定的方式和程序进行。考核未通过者不得申请学位论文答辩</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实验室安全教育</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开展实验室安全教育，制定实验室准入制度，组织研究生参加实验室安全教育培训与考核，促使其提高安全意识、遵守操作规范、掌握应急处理技能等</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开题报告</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专业学位研究生撰写论文首先要进行开题，撰写开题报告，内容包括文献阅读、学位论文选题、科研调查、研究方法、实验手段、理论分析、论文工作计划等。论文选题应与人工智能领域密切相关，由相关专业领域专家(交叉学科的论文选题，人工智能领域专家不少于半数)评审，经所在学院批准和计算机与软件学院学位评定分委员会审核，由各培养单位存档。凡首次开题未通过者，应于一个月内重新选题并再次组织开题，仍未通过者应终止学习，按退学处理</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专业实践</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xml:space="preserve">  </w:t>
                  </w:r>
                  <w:r>
                    <w:rPr>
                      <w:rFonts w:hint="eastAsia" w:ascii="微软雅黑" w:hAnsi="微软雅黑" w:eastAsia="微软雅黑" w:cs="微软雅黑"/>
                      <w:kern w:val="0"/>
                      <w:sz w:val="21"/>
                      <w:szCs w:val="21"/>
                      <w:bdr w:val="none" w:color="auto" w:sz="0" w:space="0"/>
                    </w:rPr>
                    <w:t>(1)研究生在学期间，可采用集中实践与分段实践相结合的方式到实践基地、企（行）业部门等开展实践活动。实践形式可以是课程实验、企（行）业实践、课题研究等多种形式。具有2年及以上企业工作经历的工程类硕士专业学位研究生专业实践时间应不少于6个月，不具有2年企业工作经历的工程类硕士专业学位研究生专业实践时间应不少于1年。在实践过程中，研究生要注意综合运用专业理论知识和研究方法，切实提高专业实践经验、解决实际问题的能力。</w:t>
                  </w:r>
                </w:p>
                <w:p>
                  <w:pPr>
                    <w:keepNext w:val="0"/>
                    <w:keepLines w:val="0"/>
                    <w:widowControl/>
                    <w:suppressLineNumbers w:val="0"/>
                    <w:spacing w:before="0" w:beforeAutospacing="1" w:after="0" w:afterAutospacing="1"/>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(2)加强实践基地设施建设，建立健全实践基地管理体系和运行机制，制定专业实践的考核目标、考核实施细则，对研究生专业实践实行全过程管理、服务和质量评价，确保实践教学质量。</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(3)专业实践考核工作应在申请学位论文答辩前一个学期完成，采用专硕生不少于5000字的实践报告、实践单位指导教师评定、校内导师评定、学院审批的方式和程序进行。考核未通过者将无法通过综合考核</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综合考核</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学院成立专业学位研究生综合考核领导小组，检查研究生个人培养计划执行情况，对其进行考核，考核内容包括思想品德、课程学习、专业实践能力、论文工作情况和入学年限五个方面，考核工作具体按照《深圳大学专业学位研究生综合考核办法》执行</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预答辩</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研究生完成学位论文工作，学位论文撰写完成，可向研究生指导小组提交预答辩申请。根据预答辩专家委员会评成绩等级决定学位论文工作是否继续。预答辩通过者，可直接向学位点申请学位论文评审</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ind w:left="0" w:right="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第5学期末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毕业与学位申请</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学位论文的撰写按照研究生院相关规定执行。研究生学位论文答辩及学位授予工作按照《中华人民共和国学位条例》、《中华人民共和国学位条例暂行实施办法》及《深圳大学学位条例实施办法》执行。研究生按培养方案和个人培养计划要求，修满规定学分，通过论文答辩，准予毕业，并根据《深圳大学学位条例实施办法》申请学位</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ind w:left="0" w:right="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学位论文评审</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预答辩通过的研究生，可申请和参加学位论文评审。交叉学科的学位论文，人工智能领域的评审专家不少于半数。根据评审专家意见，评审通过且同意参加答辩者可申请参加学位论文正式答辩</w:t>
                  </w:r>
                  <w:r>
                    <w:rPr>
                      <w:rFonts w:hint="eastAsia" w:ascii="宋体" w:hAnsi="宋体" w:eastAsia="宋体" w:cs="宋体"/>
                      <w:kern w:val="0"/>
                      <w:sz w:val="21"/>
                      <w:szCs w:val="21"/>
                      <w:bdr w:val="none" w:color="auto" w:sz="0" w:space="0"/>
                    </w:rPr>
                    <w:t>。</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21"/>
                      <w:szCs w:val="21"/>
                      <w:bdr w:val="none" w:color="auto" w:sz="0" w:space="0"/>
                    </w:rPr>
                    <w:t> </w:t>
                  </w:r>
                  <w:r>
                    <w:rPr>
                      <w:rFonts w:hint="eastAsia" w:ascii="微软雅黑" w:hAnsi="微软雅黑" w:eastAsia="微软雅黑" w:cs="微软雅黑"/>
                      <w:kern w:val="0"/>
                      <w:sz w:val="21"/>
                      <w:szCs w:val="21"/>
                      <w:bdr w:val="none" w:color="auto" w:sz="0" w:space="0"/>
                    </w:rPr>
                    <w:t>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ind w:left="0" w:right="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正式答辩</w:t>
                  </w:r>
                </w:p>
              </w:tc>
              <w:tc>
                <w:tcPr>
                  <w:tcW w:w="39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学位论文评审专家评审通过且同意答辩的研究生可申请参加正式答辩，经所在学院学位评定委员会审批同意，方可参加正式答辩。交叉学科的学位论文，人工智能领域的答辩专家不少于半数。答辩专家委员会评通过者才能申请学位。</w:t>
                  </w:r>
                </w:p>
              </w:tc>
              <w:tc>
                <w:tcPr>
                  <w:tcW w:w="178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考查</w:t>
                  </w:r>
                </w:p>
              </w:tc>
              <w:tc>
                <w:tcPr>
                  <w:tcW w:w="15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100" w:beforeAutospacing="0" w:after="100" w:afterAutospacing="0"/>
                    <w:ind w:left="0" w:right="0"/>
                    <w:jc w:val="left"/>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9" w:hRule="atLeast"/>
              </w:trPr>
              <w:tc>
                <w:tcPr>
                  <w:tcW w:w="119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备注</w:t>
                  </w:r>
                </w:p>
              </w:tc>
              <w:tc>
                <w:tcPr>
                  <w:tcW w:w="7267"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仿宋" w:hAnsi="仿宋" w:eastAsia="仿宋" w:cs="仿宋"/>
                      <w:kern w:val="0"/>
                      <w:sz w:val="21"/>
                      <w:szCs w:val="21"/>
                      <w:bdr w:val="none" w:color="auto" w:sz="0" w:space="0"/>
                    </w:rPr>
                    <w:t>1.学院在不同类别培养方案的培养环节中要体现相应的特点，如果粤港澳联培、东莞等基地联培、留学生语言能力要求、跨界联培、直博生等等。</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仿宋" w:hAnsi="仿宋" w:eastAsia="仿宋" w:cs="仿宋"/>
                      <w:kern w:val="0"/>
                      <w:sz w:val="21"/>
                      <w:szCs w:val="21"/>
                      <w:bdr w:val="none" w:color="auto" w:sz="0" w:space="0"/>
                    </w:rPr>
                    <w:t>2.学院可自主增加培养环节。</w:t>
                  </w:r>
                </w:p>
              </w:tc>
            </w:tr>
          </w:tbl>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九、 创新成果要求</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1.创新成果要求按照导师所在研究所的规定执行。</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2.人工智能(智能管理与交叉创新方向)专业学位硕士研究生在攻读硕士学位期间在满足导师团队的基本科研要求之外，需满足以下条件之一方可申请答辩：</w:t>
            </w:r>
          </w:p>
          <w:p>
            <w:pPr>
              <w:keepNext w:val="0"/>
              <w:keepLines w:val="0"/>
              <w:widowControl/>
              <w:suppressLineNumbers w:val="0"/>
              <w:spacing w:before="0" w:beforeAutospacing="1" w:after="0" w:afterAutospacing="1"/>
              <w:ind w:left="480" w:leftChars="20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(1)以项目实际执行人的身份承担并完成一项横向课题；</w:t>
            </w:r>
          </w:p>
          <w:p>
            <w:pPr>
              <w:keepNext w:val="0"/>
              <w:keepLines w:val="0"/>
              <w:widowControl/>
              <w:suppressLineNumbers w:val="0"/>
              <w:spacing w:before="0" w:beforeAutospacing="1" w:after="0" w:afterAutospacing="1"/>
              <w:ind w:left="480" w:leftChars="20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(2)获批一项软件著作权或申请一项发明专利并且进入实审阶段；</w:t>
            </w:r>
          </w:p>
          <w:p>
            <w:pPr>
              <w:keepNext w:val="0"/>
              <w:keepLines w:val="0"/>
              <w:widowControl/>
              <w:suppressLineNumbers w:val="0"/>
              <w:spacing w:before="0" w:beforeAutospacing="1" w:after="0" w:afterAutospacing="1"/>
              <w:ind w:left="480" w:leftChars="200" w:right="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(3)以小组负责人（排序第一）参与校级创新创业比赛或学科竞赛并获奖，或以主要成员（排序前三）参与省级创新创业比赛或学科竞赛并获奖，或以主要成员（排序前五）参与国家级创新创业比赛或学科竞赛并获奖；</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(4)以第二作者身份（一作为指导老师）撰写案例，案例被中国管理案例共享中心案例库收录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十、 学位论文要求</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专硕生学位论文的选题应来源于人工智能领域的应用课题或现实问题，应有明确的职业背景和应用价值，一般应与专业实践相结合。可以采用调研报告、规划设计、产品开发、案例分析、项目管理、艺术作品等为主要内容，以论文形式呈现。</w:t>
            </w:r>
          </w:p>
          <w:p>
            <w:pPr>
              <w:keepNext w:val="0"/>
              <w:keepLines w:val="0"/>
              <w:widowControl/>
              <w:suppressLineNumbers w:val="0"/>
              <w:spacing w:before="0" w:beforeAutospacing="1" w:after="0" w:afterAutospacing="1"/>
              <w:ind w:left="0" w:right="0" w:firstLine="420" w:firstLineChars="200"/>
              <w:jc w:val="both"/>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研究生学位论文的具体要求与撰写格式按照全国教指委指导性培养方案和《深圳大学学位授予工作细则》的相关规定执行。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十一、 毕业与学位申请</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bCs/>
                <w:color w:val="0C0C0C"/>
                <w:kern w:val="0"/>
                <w:sz w:val="18"/>
                <w:szCs w:val="18"/>
                <w:bdr w:val="none" w:color="auto" w:sz="0" w:space="0"/>
              </w:rPr>
              <w:t xml:space="preserve">       </w:t>
            </w:r>
            <w:r>
              <w:rPr>
                <w:rFonts w:hint="eastAsia" w:ascii="微软雅黑" w:hAnsi="微软雅黑" w:eastAsia="微软雅黑" w:cs="微软雅黑"/>
                <w:kern w:val="0"/>
                <w:sz w:val="21"/>
                <w:szCs w:val="21"/>
                <w:bdr w:val="none" w:color="auto" w:sz="0" w:space="0"/>
              </w:rPr>
              <w:t> 按照所在专业学位类别（领域）培养方案要求，完成个人培养计划，取得规定学分，发表所在专业学位类别（领域）要求的创新成果，遵守学术规范，通过硕士学位论文答辩，准予毕业，达到硕士学位水平的，授予硕士学位。</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交叉学科的学位申请需经计算机与软件学院学位评定分委员会审核。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十二、参考文献阅读书目</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90" w:hRule="atLeast"/>
          <w:jc w:val="center"/>
        </w:trPr>
        <w:tc>
          <w:tcPr>
            <w:tcW w:w="10506"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微软雅黑" w:hAnsi="微软雅黑" w:eastAsia="微软雅黑" w:cs="微软雅黑"/>
                <w:kern w:val="0"/>
                <w:sz w:val="21"/>
                <w:szCs w:val="21"/>
                <w:bdr w:val="none" w:color="auto" w:sz="0" w:space="0"/>
              </w:rPr>
              <w:t xml:space="preserve">    《中国计算机学会推荐国际学术会议和期刊目录》中A类和B类学术期刊和学术会议，CCF发布的《计算领域高质量科技期刊分级目录》中T1类期刊，网址：  https://www.ccf.org.cn/Academic_Evaluation/By_category/。</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50" w:hRule="atLeast"/>
          <w:jc w:val="center"/>
        </w:trPr>
        <w:tc>
          <w:tcPr>
            <w:tcW w:w="10506" w:type="dxa"/>
            <w:gridSpan w:val="8"/>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审核意见</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015" w:hRule="atLeast"/>
          <w:jc w:val="center"/>
        </w:trPr>
        <w:tc>
          <w:tcPr>
            <w:tcW w:w="1296"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学院（部）学位评定分委会意见</w:t>
            </w:r>
            <w:r>
              <w:rPr>
                <w:rFonts w:hint="eastAsia" w:ascii="宋体" w:hAnsi="宋体" w:eastAsia="宋体" w:cs="宋体"/>
                <w:kern w:val="0"/>
                <w:sz w:val="24"/>
                <w:szCs w:val="24"/>
                <w:bdr w:val="none" w:color="auto" w:sz="0" w:space="0"/>
              </w:rPr>
              <w:t xml:space="preserve"> </w:t>
            </w:r>
          </w:p>
        </w:tc>
        <w:tc>
          <w:tcPr>
            <w:tcW w:w="9210" w:type="dxa"/>
            <w:gridSpan w:val="7"/>
            <w:tcBorders>
              <w:top w:val="single" w:color="auto" w:sz="4" w:space="0"/>
              <w:left w:val="nil"/>
              <w:bottom w:val="single" w:color="auto" w:sz="6" w:space="0"/>
              <w:right w:val="single" w:color="auto" w:sz="6"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目录外二级学科培养方案要经过一级学科学位评定分委会审议并签署意见。 </w:t>
            </w:r>
          </w:p>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通过：______________票</w:t>
            </w:r>
            <w:r>
              <w:rPr>
                <w:rFonts w:hint="eastAsia" w:ascii="仿宋" w:hAnsi="仿宋" w:eastAsia="仿宋" w:cs="仿宋"/>
                <w:kern w:val="0"/>
                <w:sz w:val="21"/>
                <w:szCs w:val="21"/>
                <w:bdr w:val="none" w:color="auto" w:sz="0" w:space="0"/>
              </w:rPr>
              <w:br w:type="textWrapping"/>
            </w:r>
            <w:r>
              <w:rPr>
                <w:rFonts w:hint="eastAsia" w:ascii="仿宋" w:hAnsi="仿宋" w:eastAsia="仿宋" w:cs="仿宋"/>
                <w:kern w:val="0"/>
                <w:sz w:val="21"/>
                <w:szCs w:val="21"/>
                <w:bdr w:val="none" w:color="auto" w:sz="0" w:space="0"/>
              </w:rPr>
              <w:t>不通过：____________票</w:t>
            </w:r>
            <w:r>
              <w:rPr>
                <w:rFonts w:hint="eastAsia" w:ascii="仿宋" w:hAnsi="仿宋" w:eastAsia="仿宋" w:cs="仿宋"/>
                <w:kern w:val="0"/>
                <w:sz w:val="21"/>
                <w:szCs w:val="21"/>
                <w:bdr w:val="none" w:color="auto" w:sz="0" w:space="0"/>
              </w:rPr>
              <w:br w:type="textWrapping"/>
            </w:r>
            <w:r>
              <w:rPr>
                <w:rFonts w:hint="eastAsia" w:ascii="仿宋" w:hAnsi="仿宋" w:eastAsia="仿宋" w:cs="仿宋"/>
                <w:kern w:val="0"/>
                <w:sz w:val="21"/>
                <w:szCs w:val="21"/>
                <w:bdr w:val="none" w:color="auto" w:sz="0" w:space="0"/>
              </w:rPr>
              <w:t>弃权：______________票</w:t>
            </w:r>
          </w:p>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0"/>
              <w:jc w:val="left"/>
              <w:rPr>
                <w:rFonts w:hint="eastAsia" w:ascii="宋体" w:hAnsi="宋体" w:eastAsia="宋体" w:cs="宋体"/>
                <w:b/>
                <w:bCs w:val="0"/>
                <w:kern w:val="0"/>
                <w:sz w:val="18"/>
                <w:szCs w:val="18"/>
                <w:bdr w:val="none" w:color="auto" w:sz="0" w:space="0"/>
              </w:rPr>
            </w:pPr>
            <w:r>
              <w:rPr>
                <w:rFonts w:hint="eastAsia" w:ascii="宋体" w:hAnsi="宋体" w:eastAsia="宋体" w:cs="宋体"/>
                <w:b/>
                <w:bCs w:val="0"/>
                <w:kern w:val="0"/>
                <w:sz w:val="18"/>
                <w:szCs w:val="18"/>
                <w:bdr w:val="none" w:color="auto" w:sz="0" w:space="0"/>
              </w:rPr>
              <w:t xml:space="preserve">主席签名： </w:t>
            </w:r>
          </w:p>
          <w:p>
            <w:pPr>
              <w:keepNext w:val="0"/>
              <w:keepLines w:val="0"/>
              <w:widowControl/>
              <w:suppressLineNumbers w:val="0"/>
              <w:spacing w:before="0" w:beforeAutospacing="0"/>
              <w:jc w:val="left"/>
              <w:rPr>
                <w:rFonts w:hint="eastAsia" w:ascii="宋体" w:hAnsi="宋体" w:eastAsia="宋体" w:cs="宋体"/>
                <w:kern w:val="0"/>
                <w:sz w:val="18"/>
                <w:szCs w:val="18"/>
                <w:bdr w:val="none" w:color="auto" w:sz="0" w:space="0"/>
              </w:rPr>
            </w:pPr>
            <w:r>
              <w:rPr>
                <w:rFonts w:hint="eastAsia" w:ascii="宋体" w:hAnsi="宋体" w:eastAsia="宋体" w:cs="宋体"/>
                <w:b/>
                <w:bCs w:val="0"/>
                <w:kern w:val="0"/>
                <w:sz w:val="18"/>
                <w:szCs w:val="18"/>
                <w:bdr w:val="none" w:color="auto" w:sz="0" w:space="0"/>
              </w:rPr>
              <w:t xml:space="preserve">   </w:t>
            </w:r>
            <w:r>
              <w:rPr>
                <w:rFonts w:hint="eastAsia" w:ascii="宋体" w:hAnsi="宋体" w:eastAsia="宋体" w:cs="宋体"/>
                <w:kern w:val="0"/>
                <w:sz w:val="40"/>
                <w:szCs w:val="40"/>
                <w:bdr w:val="none" w:color="auto" w:sz="0" w:space="0"/>
              </w:rPr>
              <w:t xml:space="preserve">                                     </w:t>
            </w:r>
            <w:r>
              <w:rPr>
                <w:rFonts w:hint="eastAsia" w:ascii="宋体" w:hAnsi="宋体" w:eastAsia="宋体" w:cs="宋体"/>
                <w:kern w:val="0"/>
                <w:sz w:val="24"/>
                <w:szCs w:val="24"/>
                <w:bdr w:val="none" w:color="auto" w:sz="0" w:space="0"/>
              </w:rPr>
              <w:t xml:space="preserve"> </w:t>
            </w:r>
            <w:r>
              <w:rPr>
                <w:rFonts w:hint="eastAsia" w:ascii="宋体" w:hAnsi="宋体" w:eastAsia="宋体" w:cs="宋体"/>
                <w:kern w:val="0"/>
                <w:sz w:val="18"/>
                <w:szCs w:val="18"/>
                <w:bdr w:val="none" w:color="auto" w:sz="0" w:space="0"/>
              </w:rPr>
              <w:t xml:space="preserve">          </w:t>
            </w:r>
          </w:p>
          <w:p>
            <w:pPr>
              <w:keepNext w:val="0"/>
              <w:keepLines w:val="0"/>
              <w:widowControl/>
              <w:suppressLineNumbers w:val="0"/>
              <w:spacing w:before="0" w:beforeAutospacing="0"/>
              <w:ind w:left="0" w:firstLine="6480" w:firstLineChars="360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年        月        日</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0"/>
              <w:ind w:left="0" w:leftChars="0" w:firstLine="8640" w:firstLineChars="3600"/>
              <w:jc w:val="left"/>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79" w:hRule="atLeast"/>
          <w:jc w:val="center"/>
        </w:trPr>
        <w:tc>
          <w:tcPr>
            <w:tcW w:w="1296"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学院（部）意见</w:t>
            </w:r>
            <w:r>
              <w:rPr>
                <w:rFonts w:hint="eastAsia" w:ascii="宋体" w:hAnsi="宋体" w:eastAsia="宋体" w:cs="宋体"/>
                <w:kern w:val="0"/>
                <w:sz w:val="24"/>
                <w:szCs w:val="24"/>
                <w:bdr w:val="none" w:color="auto" w:sz="0" w:space="0"/>
              </w:rPr>
              <w:t xml:space="preserve"> </w:t>
            </w:r>
          </w:p>
        </w:tc>
        <w:tc>
          <w:tcPr>
            <w:tcW w:w="9210" w:type="dxa"/>
            <w:gridSpan w:val="7"/>
            <w:tcBorders>
              <w:top w:val="single" w:color="auto" w:sz="6" w:space="0"/>
              <w:left w:val="nil"/>
              <w:bottom w:val="single" w:color="auto" w:sz="4" w:space="0"/>
              <w:right w:val="single" w:color="auto" w:sz="6" w:space="0"/>
            </w:tcBorders>
            <w:shd w:val="clear"/>
            <w:vAlign w:val="center"/>
          </w:tcPr>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after="240" w:afterAutospacing="0"/>
              <w:jc w:val="left"/>
              <w:rPr>
                <w:rFonts w:hint="eastAsia" w:ascii="宋体" w:hAnsi="宋体" w:eastAsia="宋体" w:cs="宋体"/>
                <w:kern w:val="0"/>
                <w:sz w:val="24"/>
                <w:szCs w:val="24"/>
                <w:bdr w:val="none" w:color="auto" w:sz="0" w:space="0"/>
              </w:rPr>
            </w:pPr>
          </w:p>
          <w:p>
            <w:pPr>
              <w:keepNext w:val="0"/>
              <w:keepLines w:val="0"/>
              <w:widowControl/>
              <w:suppressLineNumbers w:val="0"/>
              <w:spacing w:before="0" w:beforeAutospacing="0"/>
              <w:jc w:val="left"/>
              <w:rPr>
                <w:rFonts w:hint="eastAsia" w:ascii="宋体" w:hAnsi="宋体" w:eastAsia="宋体" w:cs="宋体"/>
                <w:kern w:val="0"/>
                <w:sz w:val="40"/>
                <w:szCs w:val="40"/>
                <w:bdr w:val="none" w:color="auto" w:sz="0" w:space="0"/>
              </w:rPr>
            </w:pPr>
            <w:r>
              <w:rPr>
                <w:rFonts w:hint="eastAsia" w:ascii="宋体" w:hAnsi="宋体" w:eastAsia="宋体" w:cs="宋体"/>
                <w:b/>
                <w:bCs w:val="0"/>
                <w:kern w:val="0"/>
                <w:sz w:val="18"/>
                <w:szCs w:val="18"/>
                <w:bdr w:val="none" w:color="auto" w:sz="0" w:space="0"/>
              </w:rPr>
              <w:t xml:space="preserve">负责人签名：    </w:t>
            </w:r>
            <w:r>
              <w:rPr>
                <w:rFonts w:hint="eastAsia" w:ascii="宋体" w:hAnsi="宋体" w:eastAsia="宋体" w:cs="宋体"/>
                <w:kern w:val="0"/>
                <w:sz w:val="40"/>
                <w:szCs w:val="40"/>
                <w:bdr w:val="none" w:color="auto" w:sz="0" w:space="0"/>
              </w:rPr>
              <w:t xml:space="preserve">                 </w:t>
            </w:r>
            <w:r>
              <w:rPr>
                <w:rFonts w:hint="eastAsia" w:ascii="宋体" w:hAnsi="宋体" w:eastAsia="宋体" w:cs="宋体"/>
                <w:b/>
                <w:bCs w:val="0"/>
                <w:kern w:val="0"/>
                <w:sz w:val="18"/>
                <w:szCs w:val="18"/>
                <w:bdr w:val="none" w:color="auto" w:sz="0" w:space="0"/>
              </w:rPr>
              <w:t>公章：</w:t>
            </w:r>
          </w:p>
          <w:p>
            <w:pPr>
              <w:keepNext w:val="0"/>
              <w:keepLines w:val="0"/>
              <w:widowControl/>
              <w:suppressLineNumbers w:val="0"/>
              <w:spacing w:before="0" w:beforeAutospacing="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40"/>
                <w:szCs w:val="40"/>
                <w:bdr w:val="none" w:color="auto" w:sz="0" w:space="0"/>
              </w:rPr>
              <w:t xml:space="preserve">               </w:t>
            </w:r>
            <w:r>
              <w:rPr>
                <w:rFonts w:hint="eastAsia" w:ascii="宋体" w:hAnsi="宋体" w:eastAsia="宋体" w:cs="宋体"/>
                <w:kern w:val="0"/>
                <w:sz w:val="24"/>
                <w:szCs w:val="24"/>
                <w:bdr w:val="none" w:color="auto" w:sz="0" w:space="0"/>
              </w:rPr>
              <w:t xml:space="preserve"> </w:t>
            </w:r>
            <w:r>
              <w:rPr>
                <w:rFonts w:hint="eastAsia" w:ascii="宋体" w:hAnsi="宋体" w:eastAsia="宋体" w:cs="宋体"/>
                <w:kern w:val="0"/>
                <w:sz w:val="18"/>
                <w:szCs w:val="18"/>
                <w:bdr w:val="none" w:color="auto" w:sz="0" w:space="0"/>
              </w:rPr>
              <w:t xml:space="preserve">       </w:t>
            </w:r>
          </w:p>
          <w:p>
            <w:pPr>
              <w:keepNext w:val="0"/>
              <w:keepLines w:val="0"/>
              <w:widowControl/>
              <w:suppressLineNumbers w:val="0"/>
              <w:spacing w:before="0" w:beforeAutospacing="0"/>
              <w:ind w:left="0" w:firstLine="6480" w:firstLineChars="360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年        月        日</w:t>
            </w:r>
            <w:r>
              <w:rPr>
                <w:rFonts w:hint="eastAsia" w:ascii="宋体" w:hAnsi="宋体" w:eastAsia="宋体" w:cs="宋体"/>
                <w:kern w:val="0"/>
                <w:sz w:val="24"/>
                <w:szCs w:val="24"/>
                <w:bdr w:val="none" w:color="auto" w:sz="0" w:space="0"/>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79" w:hRule="atLeast"/>
          <w:jc w:val="center"/>
        </w:trPr>
        <w:tc>
          <w:tcPr>
            <w:tcW w:w="1296"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bdr w:val="none" w:color="auto" w:sz="0" w:space="0"/>
              </w:rPr>
            </w:pPr>
            <w:r>
              <w:rPr>
                <w:rFonts w:hint="eastAsia" w:ascii="等线" w:hAnsi="等线" w:eastAsia="等线" w:cs="等线"/>
                <w:b/>
                <w:bCs/>
                <w:color w:val="000000"/>
                <w:kern w:val="0"/>
                <w:sz w:val="22"/>
                <w:szCs w:val="22"/>
                <w:bdr w:val="none" w:color="auto" w:sz="0" w:space="0"/>
              </w:rPr>
              <w:t>研究生院意见</w:t>
            </w:r>
            <w:r>
              <w:rPr>
                <w:rFonts w:hint="eastAsia" w:ascii="宋体" w:hAnsi="宋体" w:eastAsia="宋体" w:cs="宋体"/>
                <w:kern w:val="0"/>
                <w:sz w:val="24"/>
                <w:szCs w:val="24"/>
                <w:bdr w:val="none" w:color="auto" w:sz="0" w:space="0"/>
              </w:rPr>
              <w:t xml:space="preserve"> </w:t>
            </w:r>
          </w:p>
        </w:tc>
        <w:tc>
          <w:tcPr>
            <w:tcW w:w="9210" w:type="dxa"/>
            <w:gridSpan w:val="7"/>
            <w:tcBorders>
              <w:top w:val="single" w:color="auto" w:sz="6" w:space="0"/>
              <w:left w:val="nil"/>
              <w:bottom w:val="single" w:color="auto" w:sz="4" w:space="0"/>
              <w:right w:val="single" w:color="auto" w:sz="6" w:space="0"/>
            </w:tcBorders>
            <w:shd w:val="clear"/>
            <w:vAlign w:val="center"/>
          </w:tcPr>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firstLine="3828" w:firstLineChars="2127"/>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 </w:t>
            </w:r>
            <w:r>
              <w:rPr>
                <w:rFonts w:hint="eastAsia" w:ascii="宋体" w:hAnsi="宋体" w:eastAsia="宋体" w:cs="宋体"/>
                <w:kern w:val="0"/>
                <w:sz w:val="24"/>
                <w:szCs w:val="24"/>
                <w:bdr w:val="none" w:color="auto" w:sz="0" w:space="0"/>
              </w:rPr>
              <w:t xml:space="preserve"> </w:t>
            </w:r>
          </w:p>
          <w:p>
            <w:pPr>
              <w:keepNext w:val="0"/>
              <w:keepLines w:val="0"/>
              <w:widowControl/>
              <w:suppressLineNumbers w:val="0"/>
              <w:spacing w:after="240" w:afterAutospacing="0"/>
              <w:jc w:val="left"/>
              <w:rPr>
                <w:rFonts w:hint="eastAsia" w:ascii="宋体" w:hAnsi="宋体" w:eastAsia="宋体" w:cs="宋体"/>
                <w:kern w:val="0"/>
                <w:sz w:val="24"/>
                <w:szCs w:val="24"/>
                <w:bdr w:val="none" w:color="auto" w:sz="0" w:space="0"/>
              </w:rPr>
            </w:pPr>
          </w:p>
          <w:p>
            <w:pPr>
              <w:keepNext w:val="0"/>
              <w:keepLines w:val="0"/>
              <w:widowControl/>
              <w:suppressLineNumbers w:val="0"/>
              <w:spacing w:before="0" w:beforeAutospacing="0"/>
              <w:jc w:val="left"/>
              <w:rPr>
                <w:rFonts w:hint="eastAsia" w:ascii="宋体" w:hAnsi="宋体" w:eastAsia="宋体" w:cs="宋体"/>
                <w:kern w:val="0"/>
                <w:sz w:val="40"/>
                <w:szCs w:val="40"/>
                <w:bdr w:val="none" w:color="auto" w:sz="0" w:space="0"/>
              </w:rPr>
            </w:pPr>
            <w:r>
              <w:rPr>
                <w:rFonts w:hint="eastAsia" w:ascii="宋体" w:hAnsi="宋体" w:eastAsia="宋体" w:cs="宋体"/>
                <w:b/>
                <w:bCs w:val="0"/>
                <w:kern w:val="0"/>
                <w:sz w:val="18"/>
                <w:szCs w:val="18"/>
                <w:bdr w:val="none" w:color="auto" w:sz="0" w:space="0"/>
              </w:rPr>
              <w:t xml:space="preserve">负责人签名：    </w:t>
            </w:r>
            <w:r>
              <w:rPr>
                <w:rFonts w:hint="eastAsia" w:ascii="宋体" w:hAnsi="宋体" w:eastAsia="宋体" w:cs="宋体"/>
                <w:kern w:val="0"/>
                <w:sz w:val="40"/>
                <w:szCs w:val="40"/>
                <w:bdr w:val="none" w:color="auto" w:sz="0" w:space="0"/>
              </w:rPr>
              <w:t xml:space="preserve">                 </w:t>
            </w:r>
            <w:r>
              <w:rPr>
                <w:rFonts w:hint="eastAsia" w:ascii="宋体" w:hAnsi="宋体" w:eastAsia="宋体" w:cs="宋体"/>
                <w:b/>
                <w:bCs w:val="0"/>
                <w:kern w:val="0"/>
                <w:sz w:val="18"/>
                <w:szCs w:val="18"/>
                <w:bdr w:val="none" w:color="auto" w:sz="0" w:space="0"/>
              </w:rPr>
              <w:t>公章：</w:t>
            </w:r>
          </w:p>
          <w:p>
            <w:pPr>
              <w:keepNext w:val="0"/>
              <w:keepLines w:val="0"/>
              <w:widowControl/>
              <w:suppressLineNumbers w:val="0"/>
              <w:spacing w:before="0" w:beforeAutospacing="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40"/>
                <w:szCs w:val="40"/>
                <w:bdr w:val="none" w:color="auto" w:sz="0" w:space="0"/>
              </w:rPr>
              <w:t xml:space="preserve">               </w:t>
            </w:r>
            <w:r>
              <w:rPr>
                <w:rFonts w:hint="eastAsia" w:ascii="宋体" w:hAnsi="宋体" w:eastAsia="宋体" w:cs="宋体"/>
                <w:kern w:val="0"/>
                <w:sz w:val="24"/>
                <w:szCs w:val="24"/>
                <w:bdr w:val="none" w:color="auto" w:sz="0" w:space="0"/>
              </w:rPr>
              <w:t xml:space="preserve"> </w:t>
            </w:r>
            <w:r>
              <w:rPr>
                <w:rFonts w:hint="eastAsia" w:ascii="宋体" w:hAnsi="宋体" w:eastAsia="宋体" w:cs="宋体"/>
                <w:kern w:val="0"/>
                <w:sz w:val="18"/>
                <w:szCs w:val="18"/>
                <w:bdr w:val="none" w:color="auto" w:sz="0" w:space="0"/>
              </w:rPr>
              <w:t xml:space="preserve">       </w:t>
            </w:r>
          </w:p>
          <w:p>
            <w:pPr>
              <w:keepNext w:val="0"/>
              <w:keepLines w:val="0"/>
              <w:widowControl/>
              <w:suppressLineNumbers w:val="0"/>
              <w:spacing w:before="0" w:beforeAutospacing="0"/>
              <w:ind w:left="0" w:firstLine="6480" w:firstLineChars="360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18"/>
                <w:szCs w:val="18"/>
                <w:bdr w:val="none" w:color="auto" w:sz="0" w:space="0"/>
              </w:rPr>
              <w:t>年        月        日</w:t>
            </w:r>
            <w:r>
              <w:rPr>
                <w:rFonts w:hint="eastAsia" w:ascii="宋体" w:hAnsi="宋体" w:eastAsia="宋体" w:cs="宋体"/>
                <w:kern w:val="0"/>
                <w:sz w:val="24"/>
                <w:szCs w:val="24"/>
                <w:bdr w:val="none" w:color="auto" w:sz="0" w:space="0"/>
              </w:rPr>
              <w:t xml:space="preserve"> </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NDg5MDUwOWYzZDI0MWMzYTY0NGM0N2M1NGY2N2QifQ=="/>
  </w:docVars>
  <w:rsids>
    <w:rsidRoot w:val="00000000"/>
    <w:rsid w:val="03AC1B29"/>
    <w:rsid w:val="1FB67BC5"/>
    <w:rsid w:val="27DC212D"/>
    <w:rsid w:val="2B2D4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3">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8"/>
    <w:basedOn w:val="11"/>
    <w:uiPriority w:val="0"/>
    <w:rPr>
      <w:rFonts w:hint="default" w:ascii="Times New Roman" w:hAnsi="Times New Roman" w:cs="Times New Roman"/>
    </w:rPr>
  </w:style>
  <w:style w:type="paragraph" w:customStyle="1" w:styleId="15">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5"/>
    <w:basedOn w:val="11"/>
    <w:uiPriority w:val="0"/>
    <w:rPr>
      <w:rFonts w:hint="default" w:ascii="Times New Roman" w:hAnsi="Times New Roman" w:cs="Times New Roman"/>
    </w:rPr>
  </w:style>
  <w:style w:type="paragraph" w:customStyle="1" w:styleId="17">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0"/>
    <w:basedOn w:val="11"/>
    <w:uiPriority w:val="0"/>
    <w:rPr>
      <w:rFonts w:hint="default" w:ascii="Times New Roman" w:hAnsi="Times New Roman" w:cs="Times New Roman"/>
    </w:rPr>
  </w:style>
  <w:style w:type="character" w:customStyle="1" w:styleId="19">
    <w:name w:val="16"/>
    <w:basedOn w:val="11"/>
    <w:uiPriority w:val="0"/>
    <w:rPr>
      <w:rFonts w:hint="default" w:ascii="Times New Roman" w:hAnsi="Times New Roman" w:cs="Times New Roman"/>
    </w:rPr>
  </w:style>
  <w:style w:type="character" w:customStyle="1" w:styleId="20">
    <w:name w:val="17"/>
    <w:basedOn w:val="11"/>
    <w:uiPriority w:val="0"/>
    <w:rPr>
      <w:rFonts w:hint="default" w:ascii="Times New Roman" w:hAnsi="Times New Roman" w:cs="Times New Roman"/>
    </w:rPr>
  </w:style>
  <w:style w:type="character" w:customStyle="1" w:styleId="21">
    <w:name w:val="19"/>
    <w:basedOn w:val="11"/>
    <w:uiPriority w:val="0"/>
    <w:rPr>
      <w:rFonts w:hint="default" w:ascii="Times New Roman" w:hAnsi="Times New Roman" w:cs="Times New Roman"/>
    </w:rPr>
  </w:style>
  <w:style w:type="paragraph" w:customStyle="1" w:styleId="22">
    <w:name w:val="HTML 预设格式 Char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8235</Words>
  <Characters>9138</Characters>
  <Lines>1</Lines>
  <Paragraphs>1</Paragraphs>
  <TotalTime>3</TotalTime>
  <ScaleCrop>false</ScaleCrop>
  <LinksUpToDate>false</LinksUpToDate>
  <CharactersWithSpaces>9987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2023-06-21T09:03:07Z</dcterms:created>
  <dc:creator>surface</dc:creator>
  <cp:lastModifiedBy>朱云超</cp:lastModifiedBy>
  <dcterms:modified xsi:type="dcterms:W3CDTF">2023-06-21T09:06:46Z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FCB35C6DF3824E08949CD14CC78EE340_13</vt:lpwstr>
  </property>
</Properties>
</file>